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015" w:rsidRDefault="00CA360C" w:rsidP="00E63015">
      <w:pPr>
        <w:jc w:val="right"/>
      </w:pPr>
      <w:r>
        <w:rPr>
          <w:rFonts w:hint="eastAsia"/>
        </w:rPr>
        <w:t>（資料６</w:t>
      </w:r>
      <w:bookmarkStart w:id="0" w:name="_GoBack"/>
      <w:bookmarkEnd w:id="0"/>
      <w:r w:rsidR="006E04C7">
        <w:rPr>
          <w:rFonts w:hint="eastAsia"/>
        </w:rPr>
        <w:t>）</w:t>
      </w:r>
    </w:p>
    <w:p w:rsidR="00E63015" w:rsidRDefault="00E63015" w:rsidP="00E63015">
      <w:pPr>
        <w:jc w:val="center"/>
      </w:pPr>
    </w:p>
    <w:p w:rsidR="00E63015" w:rsidRDefault="00BC4688" w:rsidP="00E63015">
      <w:pPr>
        <w:jc w:val="center"/>
      </w:pPr>
      <w:r>
        <w:rPr>
          <w:rFonts w:hint="eastAsia"/>
        </w:rPr>
        <w:t>間接経費（</w:t>
      </w:r>
      <w:r w:rsidR="00E63015">
        <w:rPr>
          <w:rFonts w:hint="eastAsia"/>
        </w:rPr>
        <w:t>一般管理費</w:t>
      </w:r>
      <w:r>
        <w:rPr>
          <w:rFonts w:hint="eastAsia"/>
        </w:rPr>
        <w:t>）</w:t>
      </w:r>
      <w:r w:rsidR="00E63015">
        <w:rPr>
          <w:rFonts w:hint="eastAsia"/>
        </w:rPr>
        <w:t>について</w:t>
      </w:r>
    </w:p>
    <w:p w:rsidR="00E63015" w:rsidRDefault="00E63015" w:rsidP="00EC3EF6"/>
    <w:p w:rsidR="00236FB2" w:rsidRDefault="00236FB2" w:rsidP="00EC3EF6">
      <w:r>
        <w:rPr>
          <w:rFonts w:hint="eastAsia"/>
        </w:rPr>
        <w:t>１　趣旨</w:t>
      </w:r>
    </w:p>
    <w:p w:rsidR="00E63015" w:rsidRDefault="00E63015" w:rsidP="00EC3EF6">
      <w:r>
        <w:rPr>
          <w:rFonts w:hint="eastAsia"/>
        </w:rPr>
        <w:t xml:space="preserve">　指定管理業務を実施するために必要な経費ではあるものの、当該指定管理業務として経費の算定が難しい本社</w:t>
      </w:r>
      <w:r w:rsidR="00BC4688">
        <w:rPr>
          <w:rFonts w:hint="eastAsia"/>
        </w:rPr>
        <w:t>（本部）機能の維持経費（</w:t>
      </w:r>
      <w:r>
        <w:rPr>
          <w:rFonts w:hint="eastAsia"/>
        </w:rPr>
        <w:t>総務、人事、経理部門等の人件費</w:t>
      </w:r>
      <w:r w:rsidR="00BC4688">
        <w:rPr>
          <w:rFonts w:hint="eastAsia"/>
        </w:rPr>
        <w:t>、従業員福利厚生費、</w:t>
      </w:r>
      <w:r>
        <w:rPr>
          <w:rFonts w:hint="eastAsia"/>
        </w:rPr>
        <w:t>光熱水費等</w:t>
      </w:r>
      <w:r w:rsidR="00BC4688">
        <w:rPr>
          <w:rFonts w:hint="eastAsia"/>
        </w:rPr>
        <w:t>の管理的経費）</w:t>
      </w:r>
      <w:r>
        <w:rPr>
          <w:rFonts w:hint="eastAsia"/>
        </w:rPr>
        <w:t>に</w:t>
      </w:r>
      <w:r w:rsidR="00BC4688">
        <w:rPr>
          <w:rFonts w:hint="eastAsia"/>
        </w:rPr>
        <w:t>係る</w:t>
      </w:r>
      <w:r>
        <w:rPr>
          <w:rFonts w:hint="eastAsia"/>
        </w:rPr>
        <w:t>経費について、</w:t>
      </w:r>
      <w:r w:rsidR="00BC4688">
        <w:rPr>
          <w:rFonts w:hint="eastAsia"/>
        </w:rPr>
        <w:t>便宜</w:t>
      </w:r>
      <w:r>
        <w:rPr>
          <w:rFonts w:hint="eastAsia"/>
        </w:rPr>
        <w:t>的に指定管理業務の直接経費（人件費、事業費、運営管理費等）に一定の率（一般管理費率）を乗じて算定した額を、</w:t>
      </w:r>
      <w:r w:rsidR="00BC4688">
        <w:rPr>
          <w:rFonts w:hint="eastAsia"/>
        </w:rPr>
        <w:t>間接経費（</w:t>
      </w:r>
      <w:r>
        <w:rPr>
          <w:rFonts w:hint="eastAsia"/>
        </w:rPr>
        <w:t>一般管理費</w:t>
      </w:r>
      <w:r w:rsidR="00BC4688">
        <w:rPr>
          <w:rFonts w:hint="eastAsia"/>
        </w:rPr>
        <w:t>）</w:t>
      </w:r>
      <w:r>
        <w:rPr>
          <w:rFonts w:hint="eastAsia"/>
        </w:rPr>
        <w:t>として計上することとします。</w:t>
      </w:r>
    </w:p>
    <w:p w:rsidR="00E63015" w:rsidRDefault="00E63015" w:rsidP="00EC3EF6">
      <w:r>
        <w:rPr>
          <w:rFonts w:hint="eastAsia"/>
        </w:rPr>
        <w:t xml:space="preserve">　なお、一般管理費は、直接経費に一般管理費率を乗じて算定されることから、直接経費の額によって変動するものであり、計画時に算定された一般管理費の額が定額で経費として認められるものではありません。</w:t>
      </w:r>
    </w:p>
    <w:p w:rsidR="00E63015" w:rsidRDefault="00E63015" w:rsidP="00EC3EF6"/>
    <w:p w:rsidR="00BC4688" w:rsidRDefault="00236FB2" w:rsidP="00EC3EF6">
      <w:r>
        <w:rPr>
          <w:rFonts w:hint="eastAsia"/>
        </w:rPr>
        <w:t>２　算定方法</w:t>
      </w:r>
    </w:p>
    <w:p w:rsidR="00BC4688" w:rsidRDefault="00BC4688" w:rsidP="00EC3EF6">
      <w:r>
        <w:rPr>
          <w:rFonts w:hint="eastAsia"/>
        </w:rPr>
        <w:t xml:space="preserve">　一般管理費率については、申請者（グループの場合、それぞれの構成員ごと）が独自の受託規定に定める一般管理費率、１０％又は以下に示す算出方法等によって算出された率のいずれか低い率とします。ただし、これにより算出される率より低い率を採用してもかまいません。</w:t>
      </w:r>
    </w:p>
    <w:p w:rsidR="00BC4688" w:rsidRDefault="00BC4688" w:rsidP="00EC3EF6"/>
    <w:p w:rsidR="00BC4688" w:rsidRDefault="00236FB2" w:rsidP="00BC4688">
      <w:r>
        <w:rPr>
          <w:rFonts w:hint="eastAsia"/>
        </w:rPr>
        <w:t>（１）</w:t>
      </w:r>
      <w:r w:rsidR="00BC4688">
        <w:rPr>
          <w:rFonts w:hint="eastAsia"/>
        </w:rPr>
        <w:t>基本的な考え方</w:t>
      </w:r>
    </w:p>
    <w:p w:rsidR="00BC4688" w:rsidRDefault="00BC4688" w:rsidP="00B27912">
      <w:pPr>
        <w:ind w:leftChars="100" w:left="227"/>
      </w:pPr>
      <w:r>
        <w:rPr>
          <w:rFonts w:hint="eastAsia"/>
        </w:rPr>
        <w:t xml:space="preserve">　直近年度の有価証券報告書記載の「販売費及び一般管理費」のうち、原価計算科目上明らかに販売費と認められる科目を控除した額の「売上原価」に対する比率（小数点第２位を切り捨て）。</w:t>
      </w:r>
    </w:p>
    <w:p w:rsidR="00BC4688" w:rsidRDefault="00BC4688" w:rsidP="00B27912">
      <w:pPr>
        <w:ind w:leftChars="100" w:left="227"/>
      </w:pPr>
      <w:r>
        <w:rPr>
          <w:rFonts w:hint="eastAsia"/>
        </w:rPr>
        <w:t xml:space="preserve">　ただし、</w:t>
      </w:r>
      <w:r w:rsidR="001969A0">
        <w:rPr>
          <w:rFonts w:hint="eastAsia"/>
        </w:rPr>
        <w:t>法人の性質の違いにより、決算書の内容も異なることから、以下に示す算出方法を参考に</w:t>
      </w:r>
      <w:r w:rsidR="00236FB2">
        <w:rPr>
          <w:rFonts w:hint="eastAsia"/>
        </w:rPr>
        <w:t>上記趣旨に照らして</w:t>
      </w:r>
      <w:r w:rsidR="001969A0">
        <w:rPr>
          <w:rFonts w:hint="eastAsia"/>
        </w:rPr>
        <w:t>申請者応じた率を算出すること。</w:t>
      </w:r>
    </w:p>
    <w:p w:rsidR="001969A0" w:rsidRDefault="001969A0" w:rsidP="00BC4688"/>
    <w:p w:rsidR="00236FB2" w:rsidRDefault="00236FB2" w:rsidP="00BC4688">
      <w:r>
        <w:rPr>
          <w:rFonts w:hint="eastAsia"/>
        </w:rPr>
        <w:t>（２）参考例</w:t>
      </w:r>
    </w:p>
    <w:p w:rsidR="001969A0" w:rsidRDefault="00236FB2" w:rsidP="00B27912">
      <w:pPr>
        <w:ind w:leftChars="100" w:left="227"/>
      </w:pPr>
      <w:r>
        <w:rPr>
          <w:rFonts w:hint="eastAsia"/>
        </w:rPr>
        <w:t>①</w:t>
      </w:r>
      <w:r w:rsidR="001969A0">
        <w:rPr>
          <w:rFonts w:hint="eastAsia"/>
        </w:rPr>
        <w:t>民間企業の場合</w:t>
      </w:r>
    </w:p>
    <w:p w:rsidR="001969A0" w:rsidRDefault="001969A0" w:rsidP="00B27912">
      <w:pPr>
        <w:ind w:leftChars="100" w:left="227"/>
      </w:pPr>
      <w:r>
        <w:rPr>
          <w:rFonts w:hint="eastAsia"/>
        </w:rPr>
        <w:t xml:space="preserve">　一般管理費率（％）＝｛（販売費及び一般管理費）－（販売費）｝÷（売上原価）×</w:t>
      </w:r>
      <w:r>
        <w:rPr>
          <w:rFonts w:hint="eastAsia"/>
        </w:rPr>
        <w:t>100</w:t>
      </w:r>
    </w:p>
    <w:p w:rsidR="001969A0" w:rsidRDefault="001969A0" w:rsidP="00B27912">
      <w:pPr>
        <w:ind w:leftChars="100" w:left="227"/>
      </w:pPr>
    </w:p>
    <w:p w:rsidR="001969A0" w:rsidRDefault="00236FB2" w:rsidP="00B27912">
      <w:pPr>
        <w:ind w:leftChars="100" w:left="227"/>
      </w:pPr>
      <w:r>
        <w:rPr>
          <w:rFonts w:hint="eastAsia"/>
        </w:rPr>
        <w:t>②</w:t>
      </w:r>
      <w:r w:rsidR="00641201">
        <w:rPr>
          <w:rFonts w:hint="eastAsia"/>
        </w:rPr>
        <w:t>公益法人の場合</w:t>
      </w:r>
    </w:p>
    <w:p w:rsidR="00641201" w:rsidRDefault="00641201" w:rsidP="00B27912">
      <w:pPr>
        <w:ind w:leftChars="100" w:left="227"/>
      </w:pPr>
      <w:r>
        <w:rPr>
          <w:rFonts w:hint="eastAsia"/>
        </w:rPr>
        <w:t xml:space="preserve">　一般管理費率（％）＝（管理費）÷｛（総事業費）－（間接事業費）｝×</w:t>
      </w:r>
      <w:r>
        <w:rPr>
          <w:rFonts w:hint="eastAsia"/>
        </w:rPr>
        <w:t>100</w:t>
      </w:r>
    </w:p>
    <w:p w:rsidR="00BC4688" w:rsidRDefault="00BC4688" w:rsidP="00B27912">
      <w:pPr>
        <w:ind w:leftChars="100" w:left="227"/>
      </w:pPr>
    </w:p>
    <w:p w:rsidR="00B40898" w:rsidRDefault="00B40898" w:rsidP="00B27912">
      <w:pPr>
        <w:ind w:leftChars="100" w:left="227"/>
      </w:pPr>
      <w:r>
        <w:rPr>
          <w:rFonts w:hint="eastAsia"/>
        </w:rPr>
        <w:t>③新設法人等の場合</w:t>
      </w:r>
    </w:p>
    <w:p w:rsidR="00B40898" w:rsidRDefault="00B40898" w:rsidP="00B27912">
      <w:pPr>
        <w:ind w:leftChars="100" w:left="227"/>
      </w:pPr>
      <w:r>
        <w:rPr>
          <w:rFonts w:hint="eastAsia"/>
        </w:rPr>
        <w:t xml:space="preserve">　新たに設立された法人の場合であって設立年度に申請する場合、</w:t>
      </w:r>
      <w:r w:rsidR="007C549C">
        <w:rPr>
          <w:rFonts w:hint="eastAsia"/>
        </w:rPr>
        <w:t>以下の方法により算定した一般管理費率を用い、指定後の最初の決算が確定した時点で、その決算に基づいて算定した一般管理費率に変更す</w:t>
      </w:r>
      <w:r w:rsidR="00DF786D">
        <w:rPr>
          <w:rFonts w:hint="eastAsia"/>
        </w:rPr>
        <w:t>ること。</w:t>
      </w:r>
    </w:p>
    <w:p w:rsidR="00DF786D" w:rsidRDefault="00DF786D" w:rsidP="00B27912">
      <w:pPr>
        <w:ind w:leftChars="100" w:left="424" w:hangingChars="87" w:hanging="197"/>
      </w:pPr>
      <w:r>
        <w:rPr>
          <w:rFonts w:hint="eastAsia"/>
        </w:rPr>
        <w:t>・法人設立に際して収支予算を作成しており、その収支予算から一般管理費率を算出できる場合は当該算出による率</w:t>
      </w:r>
    </w:p>
    <w:p w:rsidR="00DF786D" w:rsidRPr="00DF786D" w:rsidRDefault="00DF786D" w:rsidP="00B27912">
      <w:pPr>
        <w:ind w:leftChars="100" w:left="424" w:hangingChars="87" w:hanging="197"/>
      </w:pPr>
      <w:r>
        <w:rPr>
          <w:rFonts w:hint="eastAsia"/>
        </w:rPr>
        <w:t>・上記が不可能な場合、１０％</w:t>
      </w:r>
    </w:p>
    <w:sectPr w:rsidR="00DF786D" w:rsidRPr="00DF786D" w:rsidSect="003C53DE">
      <w:pgSz w:w="11906" w:h="16838" w:code="9"/>
      <w:pgMar w:top="1134" w:right="1418" w:bottom="1134" w:left="1418" w:header="851" w:footer="992" w:gutter="0"/>
      <w:pgNumType w:fmt="numberInDash"/>
      <w:cols w:space="425"/>
      <w:docGrid w:type="linesAndChars" w:linePitch="346"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FFC" w:rsidRDefault="00E27FFC">
      <w:r>
        <w:separator/>
      </w:r>
    </w:p>
  </w:endnote>
  <w:endnote w:type="continuationSeparator" w:id="0">
    <w:p w:rsidR="00E27FFC" w:rsidRDefault="00E2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FFC" w:rsidRDefault="00E27FFC">
      <w:r>
        <w:separator/>
      </w:r>
    </w:p>
  </w:footnote>
  <w:footnote w:type="continuationSeparator" w:id="0">
    <w:p w:rsidR="00E27FFC" w:rsidRDefault="00E27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5B83"/>
    <w:multiLevelType w:val="hybridMultilevel"/>
    <w:tmpl w:val="B1FEE8C2"/>
    <w:lvl w:ilvl="0" w:tplc="85DCDABA">
      <w:start w:val="4"/>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C1D78BA"/>
    <w:multiLevelType w:val="hybridMultilevel"/>
    <w:tmpl w:val="2E6E8B50"/>
    <w:lvl w:ilvl="0" w:tplc="1D7EC82E">
      <w:start w:val="4"/>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425FF5"/>
    <w:multiLevelType w:val="hybridMultilevel"/>
    <w:tmpl w:val="EEB67DB8"/>
    <w:lvl w:ilvl="0" w:tplc="561A7AF8">
      <w:start w:val="3"/>
      <w:numFmt w:val="decimal"/>
      <w:lvlText w:val="%1"/>
      <w:lvlJc w:val="left"/>
      <w:pPr>
        <w:tabs>
          <w:tab w:val="num" w:pos="471"/>
        </w:tabs>
        <w:ind w:left="471" w:hanging="360"/>
      </w:pPr>
      <w:rPr>
        <w:rFonts w:hint="default"/>
      </w:rPr>
    </w:lvl>
    <w:lvl w:ilvl="1" w:tplc="04090017" w:tentative="1">
      <w:start w:val="1"/>
      <w:numFmt w:val="aiueoFullWidth"/>
      <w:lvlText w:val="(%2)"/>
      <w:lvlJc w:val="left"/>
      <w:pPr>
        <w:tabs>
          <w:tab w:val="num" w:pos="951"/>
        </w:tabs>
        <w:ind w:left="951" w:hanging="420"/>
      </w:pPr>
    </w:lvl>
    <w:lvl w:ilvl="2" w:tplc="04090011" w:tentative="1">
      <w:start w:val="1"/>
      <w:numFmt w:val="decimalEnclosedCircle"/>
      <w:lvlText w:val="%3"/>
      <w:lvlJc w:val="left"/>
      <w:pPr>
        <w:tabs>
          <w:tab w:val="num" w:pos="1371"/>
        </w:tabs>
        <w:ind w:left="1371" w:hanging="420"/>
      </w:pPr>
    </w:lvl>
    <w:lvl w:ilvl="3" w:tplc="0409000F" w:tentative="1">
      <w:start w:val="1"/>
      <w:numFmt w:val="decimal"/>
      <w:lvlText w:val="%4."/>
      <w:lvlJc w:val="left"/>
      <w:pPr>
        <w:tabs>
          <w:tab w:val="num" w:pos="1791"/>
        </w:tabs>
        <w:ind w:left="1791" w:hanging="420"/>
      </w:pPr>
    </w:lvl>
    <w:lvl w:ilvl="4" w:tplc="04090017" w:tentative="1">
      <w:start w:val="1"/>
      <w:numFmt w:val="aiueoFullWidth"/>
      <w:lvlText w:val="(%5)"/>
      <w:lvlJc w:val="left"/>
      <w:pPr>
        <w:tabs>
          <w:tab w:val="num" w:pos="2211"/>
        </w:tabs>
        <w:ind w:left="2211" w:hanging="420"/>
      </w:pPr>
    </w:lvl>
    <w:lvl w:ilvl="5" w:tplc="04090011" w:tentative="1">
      <w:start w:val="1"/>
      <w:numFmt w:val="decimalEnclosedCircle"/>
      <w:lvlText w:val="%6"/>
      <w:lvlJc w:val="left"/>
      <w:pPr>
        <w:tabs>
          <w:tab w:val="num" w:pos="2631"/>
        </w:tabs>
        <w:ind w:left="2631" w:hanging="420"/>
      </w:pPr>
    </w:lvl>
    <w:lvl w:ilvl="6" w:tplc="0409000F" w:tentative="1">
      <w:start w:val="1"/>
      <w:numFmt w:val="decimal"/>
      <w:lvlText w:val="%7."/>
      <w:lvlJc w:val="left"/>
      <w:pPr>
        <w:tabs>
          <w:tab w:val="num" w:pos="3051"/>
        </w:tabs>
        <w:ind w:left="3051" w:hanging="420"/>
      </w:pPr>
    </w:lvl>
    <w:lvl w:ilvl="7" w:tplc="04090017" w:tentative="1">
      <w:start w:val="1"/>
      <w:numFmt w:val="aiueoFullWidth"/>
      <w:lvlText w:val="(%8)"/>
      <w:lvlJc w:val="left"/>
      <w:pPr>
        <w:tabs>
          <w:tab w:val="num" w:pos="3471"/>
        </w:tabs>
        <w:ind w:left="3471" w:hanging="420"/>
      </w:pPr>
    </w:lvl>
    <w:lvl w:ilvl="8" w:tplc="04090011" w:tentative="1">
      <w:start w:val="1"/>
      <w:numFmt w:val="decimalEnclosedCircle"/>
      <w:lvlText w:val="%9"/>
      <w:lvlJc w:val="left"/>
      <w:pPr>
        <w:tabs>
          <w:tab w:val="num" w:pos="3891"/>
        </w:tabs>
        <w:ind w:left="3891" w:hanging="420"/>
      </w:pPr>
    </w:lvl>
  </w:abstractNum>
  <w:abstractNum w:abstractNumId="3" w15:restartNumberingAfterBreak="0">
    <w:nsid w:val="24271310"/>
    <w:multiLevelType w:val="hybridMultilevel"/>
    <w:tmpl w:val="85709682"/>
    <w:lvl w:ilvl="0" w:tplc="1938C1BA">
      <w:start w:val="3"/>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F481B48"/>
    <w:multiLevelType w:val="hybridMultilevel"/>
    <w:tmpl w:val="8CB46134"/>
    <w:lvl w:ilvl="0" w:tplc="AB5C99A2">
      <w:start w:val="4"/>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7E07303D"/>
    <w:multiLevelType w:val="hybridMultilevel"/>
    <w:tmpl w:val="8E62E1E8"/>
    <w:lvl w:ilvl="0" w:tplc="CA360F0C">
      <w:start w:val="1"/>
      <w:numFmt w:val="decimal"/>
      <w:lvlText w:val="%1"/>
      <w:lvlJc w:val="left"/>
      <w:pPr>
        <w:tabs>
          <w:tab w:val="num" w:pos="130"/>
        </w:tabs>
        <w:ind w:left="130" w:hanging="360"/>
      </w:pPr>
      <w:rPr>
        <w:rFonts w:ascii="ＭＳ Ｐゴシック" w:eastAsia="ＭＳ Ｐゴシック" w:hAnsi="ＭＳ Ｐゴシック" w:cs="ＭＳ Ｐゴシック" w:hint="default"/>
        <w:sz w:val="21"/>
      </w:rPr>
    </w:lvl>
    <w:lvl w:ilvl="1" w:tplc="04090017" w:tentative="1">
      <w:start w:val="1"/>
      <w:numFmt w:val="aiueoFullWidth"/>
      <w:lvlText w:val="(%2)"/>
      <w:lvlJc w:val="left"/>
      <w:pPr>
        <w:tabs>
          <w:tab w:val="num" w:pos="610"/>
        </w:tabs>
        <w:ind w:left="610" w:hanging="420"/>
      </w:pPr>
    </w:lvl>
    <w:lvl w:ilvl="2" w:tplc="04090011" w:tentative="1">
      <w:start w:val="1"/>
      <w:numFmt w:val="decimalEnclosedCircle"/>
      <w:lvlText w:val="%3"/>
      <w:lvlJc w:val="left"/>
      <w:pPr>
        <w:tabs>
          <w:tab w:val="num" w:pos="1030"/>
        </w:tabs>
        <w:ind w:left="1030" w:hanging="420"/>
      </w:pPr>
    </w:lvl>
    <w:lvl w:ilvl="3" w:tplc="0409000F" w:tentative="1">
      <w:start w:val="1"/>
      <w:numFmt w:val="decimal"/>
      <w:lvlText w:val="%4."/>
      <w:lvlJc w:val="left"/>
      <w:pPr>
        <w:tabs>
          <w:tab w:val="num" w:pos="1450"/>
        </w:tabs>
        <w:ind w:left="1450" w:hanging="420"/>
      </w:pPr>
    </w:lvl>
    <w:lvl w:ilvl="4" w:tplc="04090017" w:tentative="1">
      <w:start w:val="1"/>
      <w:numFmt w:val="aiueoFullWidth"/>
      <w:lvlText w:val="(%5)"/>
      <w:lvlJc w:val="left"/>
      <w:pPr>
        <w:tabs>
          <w:tab w:val="num" w:pos="1870"/>
        </w:tabs>
        <w:ind w:left="1870" w:hanging="420"/>
      </w:pPr>
    </w:lvl>
    <w:lvl w:ilvl="5" w:tplc="04090011" w:tentative="1">
      <w:start w:val="1"/>
      <w:numFmt w:val="decimalEnclosedCircle"/>
      <w:lvlText w:val="%6"/>
      <w:lvlJc w:val="left"/>
      <w:pPr>
        <w:tabs>
          <w:tab w:val="num" w:pos="2290"/>
        </w:tabs>
        <w:ind w:left="2290" w:hanging="420"/>
      </w:pPr>
    </w:lvl>
    <w:lvl w:ilvl="6" w:tplc="0409000F" w:tentative="1">
      <w:start w:val="1"/>
      <w:numFmt w:val="decimal"/>
      <w:lvlText w:val="%7."/>
      <w:lvlJc w:val="left"/>
      <w:pPr>
        <w:tabs>
          <w:tab w:val="num" w:pos="2710"/>
        </w:tabs>
        <w:ind w:left="2710" w:hanging="420"/>
      </w:pPr>
    </w:lvl>
    <w:lvl w:ilvl="7" w:tplc="04090017" w:tentative="1">
      <w:start w:val="1"/>
      <w:numFmt w:val="aiueoFullWidth"/>
      <w:lvlText w:val="(%8)"/>
      <w:lvlJc w:val="left"/>
      <w:pPr>
        <w:tabs>
          <w:tab w:val="num" w:pos="3130"/>
        </w:tabs>
        <w:ind w:left="3130" w:hanging="420"/>
      </w:pPr>
    </w:lvl>
    <w:lvl w:ilvl="8" w:tplc="04090011" w:tentative="1">
      <w:start w:val="1"/>
      <w:numFmt w:val="decimalEnclosedCircle"/>
      <w:lvlText w:val="%9"/>
      <w:lvlJc w:val="left"/>
      <w:pPr>
        <w:tabs>
          <w:tab w:val="num" w:pos="3550"/>
        </w:tabs>
        <w:ind w:left="3550" w:hanging="420"/>
      </w:p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3"/>
  <w:displayHorizontalDrawingGridEvery w:val="0"/>
  <w:displayVerticalDrawingGridEvery w:val="2"/>
  <w:characterSpacingControl w:val="compressPunctuation"/>
  <w:hdrShapeDefaults>
    <o:shapedefaults v:ext="edit" spidmax="983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C36"/>
    <w:rsid w:val="000106C9"/>
    <w:rsid w:val="00010E43"/>
    <w:rsid w:val="00045173"/>
    <w:rsid w:val="00057092"/>
    <w:rsid w:val="00067D2B"/>
    <w:rsid w:val="000A31EE"/>
    <w:rsid w:val="000A6EDE"/>
    <w:rsid w:val="000E6190"/>
    <w:rsid w:val="000E74D1"/>
    <w:rsid w:val="000F290B"/>
    <w:rsid w:val="00100BD8"/>
    <w:rsid w:val="001031CB"/>
    <w:rsid w:val="00106491"/>
    <w:rsid w:val="001260B9"/>
    <w:rsid w:val="001350EB"/>
    <w:rsid w:val="00161ABB"/>
    <w:rsid w:val="001770BC"/>
    <w:rsid w:val="00177A48"/>
    <w:rsid w:val="00196236"/>
    <w:rsid w:val="001969A0"/>
    <w:rsid w:val="001A11B2"/>
    <w:rsid w:val="001E5993"/>
    <w:rsid w:val="00200B66"/>
    <w:rsid w:val="00203F24"/>
    <w:rsid w:val="00213F9B"/>
    <w:rsid w:val="00230EE4"/>
    <w:rsid w:val="00233999"/>
    <w:rsid w:val="00236FB2"/>
    <w:rsid w:val="00242DB1"/>
    <w:rsid w:val="002433A3"/>
    <w:rsid w:val="0024443E"/>
    <w:rsid w:val="002710BF"/>
    <w:rsid w:val="002727C9"/>
    <w:rsid w:val="002779ED"/>
    <w:rsid w:val="002C2F3C"/>
    <w:rsid w:val="002C43EA"/>
    <w:rsid w:val="002E3D63"/>
    <w:rsid w:val="002F0C56"/>
    <w:rsid w:val="002F7708"/>
    <w:rsid w:val="00301A6D"/>
    <w:rsid w:val="00334B44"/>
    <w:rsid w:val="00343AF8"/>
    <w:rsid w:val="003558B0"/>
    <w:rsid w:val="00397456"/>
    <w:rsid w:val="003A4FB5"/>
    <w:rsid w:val="003C53DE"/>
    <w:rsid w:val="003D213D"/>
    <w:rsid w:val="003E1CD6"/>
    <w:rsid w:val="00423744"/>
    <w:rsid w:val="00426DA3"/>
    <w:rsid w:val="0044651A"/>
    <w:rsid w:val="0046017B"/>
    <w:rsid w:val="004706CE"/>
    <w:rsid w:val="00491116"/>
    <w:rsid w:val="004B2F92"/>
    <w:rsid w:val="004C59C2"/>
    <w:rsid w:val="004C7DC2"/>
    <w:rsid w:val="004E4DF1"/>
    <w:rsid w:val="004F033F"/>
    <w:rsid w:val="00523DBA"/>
    <w:rsid w:val="00526BDC"/>
    <w:rsid w:val="005544C5"/>
    <w:rsid w:val="005921F1"/>
    <w:rsid w:val="005A2E3E"/>
    <w:rsid w:val="005A75B8"/>
    <w:rsid w:val="005B3614"/>
    <w:rsid w:val="005C031B"/>
    <w:rsid w:val="005C4F1D"/>
    <w:rsid w:val="005E02EF"/>
    <w:rsid w:val="005F2A70"/>
    <w:rsid w:val="0062664B"/>
    <w:rsid w:val="00627A64"/>
    <w:rsid w:val="00632FEA"/>
    <w:rsid w:val="00641201"/>
    <w:rsid w:val="00664A8C"/>
    <w:rsid w:val="00673D18"/>
    <w:rsid w:val="006A3D42"/>
    <w:rsid w:val="006C2516"/>
    <w:rsid w:val="006E04C7"/>
    <w:rsid w:val="006E5687"/>
    <w:rsid w:val="006F2BE2"/>
    <w:rsid w:val="00703392"/>
    <w:rsid w:val="00707BB4"/>
    <w:rsid w:val="007256CB"/>
    <w:rsid w:val="00766265"/>
    <w:rsid w:val="00770163"/>
    <w:rsid w:val="00775C0A"/>
    <w:rsid w:val="00787420"/>
    <w:rsid w:val="007A0230"/>
    <w:rsid w:val="007A1FF3"/>
    <w:rsid w:val="007C549C"/>
    <w:rsid w:val="007C6E6D"/>
    <w:rsid w:val="007D414B"/>
    <w:rsid w:val="007E2B78"/>
    <w:rsid w:val="007E7F63"/>
    <w:rsid w:val="00802774"/>
    <w:rsid w:val="008240B4"/>
    <w:rsid w:val="00825C68"/>
    <w:rsid w:val="00836F08"/>
    <w:rsid w:val="0084352C"/>
    <w:rsid w:val="00861C5C"/>
    <w:rsid w:val="008724E3"/>
    <w:rsid w:val="00882D9E"/>
    <w:rsid w:val="00895306"/>
    <w:rsid w:val="008E51B1"/>
    <w:rsid w:val="0091203E"/>
    <w:rsid w:val="00920BE3"/>
    <w:rsid w:val="00931B76"/>
    <w:rsid w:val="00935CCC"/>
    <w:rsid w:val="009619AD"/>
    <w:rsid w:val="00976E6D"/>
    <w:rsid w:val="009966A2"/>
    <w:rsid w:val="009A54B1"/>
    <w:rsid w:val="009B70ED"/>
    <w:rsid w:val="009E418F"/>
    <w:rsid w:val="009F0A21"/>
    <w:rsid w:val="00A018E4"/>
    <w:rsid w:val="00A078DD"/>
    <w:rsid w:val="00A62B91"/>
    <w:rsid w:val="00A705BC"/>
    <w:rsid w:val="00AA4E19"/>
    <w:rsid w:val="00AE1C25"/>
    <w:rsid w:val="00AE54BE"/>
    <w:rsid w:val="00AF7E0A"/>
    <w:rsid w:val="00AF7EF5"/>
    <w:rsid w:val="00B0116E"/>
    <w:rsid w:val="00B029E4"/>
    <w:rsid w:val="00B07003"/>
    <w:rsid w:val="00B27912"/>
    <w:rsid w:val="00B40898"/>
    <w:rsid w:val="00B411B8"/>
    <w:rsid w:val="00B41628"/>
    <w:rsid w:val="00B42FA9"/>
    <w:rsid w:val="00B7212E"/>
    <w:rsid w:val="00B8082C"/>
    <w:rsid w:val="00B81F8E"/>
    <w:rsid w:val="00B954DA"/>
    <w:rsid w:val="00B97EE3"/>
    <w:rsid w:val="00BA1B1C"/>
    <w:rsid w:val="00BB1F60"/>
    <w:rsid w:val="00BB3521"/>
    <w:rsid w:val="00BC4536"/>
    <w:rsid w:val="00BC4688"/>
    <w:rsid w:val="00C312E8"/>
    <w:rsid w:val="00C42C24"/>
    <w:rsid w:val="00C8528F"/>
    <w:rsid w:val="00CA2085"/>
    <w:rsid w:val="00CA360C"/>
    <w:rsid w:val="00CA67D4"/>
    <w:rsid w:val="00CC4685"/>
    <w:rsid w:val="00CE171A"/>
    <w:rsid w:val="00CE2580"/>
    <w:rsid w:val="00CE40CC"/>
    <w:rsid w:val="00CE42E2"/>
    <w:rsid w:val="00CF5BCC"/>
    <w:rsid w:val="00D209F1"/>
    <w:rsid w:val="00D6359F"/>
    <w:rsid w:val="00D66C36"/>
    <w:rsid w:val="00D7499A"/>
    <w:rsid w:val="00D80E7A"/>
    <w:rsid w:val="00DA2F88"/>
    <w:rsid w:val="00DB3AC5"/>
    <w:rsid w:val="00DB409C"/>
    <w:rsid w:val="00DC40E3"/>
    <w:rsid w:val="00DE03D6"/>
    <w:rsid w:val="00DF786D"/>
    <w:rsid w:val="00E16A95"/>
    <w:rsid w:val="00E27FFC"/>
    <w:rsid w:val="00E47948"/>
    <w:rsid w:val="00E57B29"/>
    <w:rsid w:val="00E61D0B"/>
    <w:rsid w:val="00E63015"/>
    <w:rsid w:val="00E720EB"/>
    <w:rsid w:val="00E81D09"/>
    <w:rsid w:val="00E85746"/>
    <w:rsid w:val="00E927E4"/>
    <w:rsid w:val="00EA6EE1"/>
    <w:rsid w:val="00EB4018"/>
    <w:rsid w:val="00EC3EF6"/>
    <w:rsid w:val="00EF22B6"/>
    <w:rsid w:val="00F05D3B"/>
    <w:rsid w:val="00F131C8"/>
    <w:rsid w:val="00F17407"/>
    <w:rsid w:val="00F2220A"/>
    <w:rsid w:val="00F42580"/>
    <w:rsid w:val="00F562BD"/>
    <w:rsid w:val="00F8721F"/>
    <w:rsid w:val="00F872AE"/>
    <w:rsid w:val="00FB2E2D"/>
    <w:rsid w:val="00FB36B1"/>
    <w:rsid w:val="00FB7A49"/>
    <w:rsid w:val="00FC07F1"/>
    <w:rsid w:val="00FC33EE"/>
    <w:rsid w:val="00FD3C87"/>
    <w:rsid w:val="00FE24B1"/>
    <w:rsid w:val="00FE4AA8"/>
    <w:rsid w:val="00FF59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v:textbox inset="5.85pt,.7pt,5.85pt,.7pt"/>
    </o:shapedefaults>
    <o:shapelayout v:ext="edit">
      <o:idmap v:ext="edit" data="1"/>
    </o:shapelayout>
  </w:shapeDefaults>
  <w:decimalSymbol w:val="."/>
  <w:listSeparator w:val=","/>
  <w14:docId w14:val="27662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721F"/>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8721F"/>
    <w:rPr>
      <w:color w:val="000000"/>
      <w:u w:val="single"/>
    </w:rPr>
  </w:style>
  <w:style w:type="paragraph" w:styleId="a4">
    <w:name w:val="Balloon Text"/>
    <w:basedOn w:val="a"/>
    <w:semiHidden/>
    <w:rsid w:val="00F8721F"/>
    <w:rPr>
      <w:rFonts w:ascii="Arial" w:eastAsia="ＭＳ ゴシック" w:hAnsi="Arial"/>
      <w:sz w:val="18"/>
      <w:szCs w:val="18"/>
    </w:rPr>
  </w:style>
  <w:style w:type="paragraph" w:styleId="a5">
    <w:name w:val="footer"/>
    <w:basedOn w:val="a"/>
    <w:rsid w:val="00F8721F"/>
    <w:pPr>
      <w:tabs>
        <w:tab w:val="center" w:pos="4252"/>
        <w:tab w:val="right" w:pos="8504"/>
      </w:tabs>
      <w:snapToGrid w:val="0"/>
    </w:pPr>
  </w:style>
  <w:style w:type="character" w:styleId="a6">
    <w:name w:val="page number"/>
    <w:basedOn w:val="a0"/>
    <w:rsid w:val="00F8721F"/>
  </w:style>
  <w:style w:type="paragraph" w:styleId="a7">
    <w:name w:val="header"/>
    <w:basedOn w:val="a"/>
    <w:rsid w:val="00861C5C"/>
    <w:pPr>
      <w:tabs>
        <w:tab w:val="center" w:pos="4252"/>
        <w:tab w:val="right" w:pos="8504"/>
      </w:tabs>
      <w:snapToGrid w:val="0"/>
    </w:pPr>
  </w:style>
  <w:style w:type="paragraph" w:styleId="a8">
    <w:name w:val="Note Heading"/>
    <w:basedOn w:val="a"/>
    <w:next w:val="a"/>
    <w:link w:val="a9"/>
    <w:uiPriority w:val="99"/>
    <w:unhideWhenUsed/>
    <w:rsid w:val="00EC3EF6"/>
    <w:pPr>
      <w:jc w:val="center"/>
    </w:pPr>
  </w:style>
  <w:style w:type="character" w:customStyle="1" w:styleId="a9">
    <w:name w:val="記 (文字)"/>
    <w:basedOn w:val="a0"/>
    <w:link w:val="a8"/>
    <w:uiPriority w:val="99"/>
    <w:rsid w:val="00EC3EF6"/>
    <w:rPr>
      <w:kern w:val="2"/>
      <w:sz w:val="24"/>
      <w:szCs w:val="24"/>
    </w:rPr>
  </w:style>
  <w:style w:type="paragraph" w:styleId="aa">
    <w:name w:val="Closing"/>
    <w:basedOn w:val="a"/>
    <w:link w:val="ab"/>
    <w:uiPriority w:val="99"/>
    <w:unhideWhenUsed/>
    <w:rsid w:val="00EC3EF6"/>
    <w:pPr>
      <w:jc w:val="right"/>
    </w:pPr>
  </w:style>
  <w:style w:type="character" w:customStyle="1" w:styleId="ab">
    <w:name w:val="結語 (文字)"/>
    <w:basedOn w:val="a0"/>
    <w:link w:val="aa"/>
    <w:uiPriority w:val="99"/>
    <w:rsid w:val="00EC3EF6"/>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373878">
      <w:bodyDiv w:val="1"/>
      <w:marLeft w:val="0"/>
      <w:marRight w:val="0"/>
      <w:marTop w:val="0"/>
      <w:marBottom w:val="0"/>
      <w:divBdr>
        <w:top w:val="none" w:sz="0" w:space="0" w:color="auto"/>
        <w:left w:val="none" w:sz="0" w:space="0" w:color="auto"/>
        <w:bottom w:val="none" w:sz="0" w:space="0" w:color="auto"/>
        <w:right w:val="none" w:sz="0" w:space="0" w:color="auto"/>
      </w:divBdr>
      <w:divsChild>
        <w:div w:id="216820954">
          <w:marLeft w:val="0"/>
          <w:marRight w:val="0"/>
          <w:marTop w:val="0"/>
          <w:marBottom w:val="0"/>
          <w:divBdr>
            <w:top w:val="none" w:sz="0" w:space="0" w:color="auto"/>
            <w:left w:val="none" w:sz="0" w:space="0" w:color="auto"/>
            <w:bottom w:val="none" w:sz="0" w:space="0" w:color="auto"/>
            <w:right w:val="none" w:sz="0" w:space="0" w:color="auto"/>
          </w:divBdr>
        </w:div>
        <w:div w:id="835876658">
          <w:marLeft w:val="0"/>
          <w:marRight w:val="0"/>
          <w:marTop w:val="0"/>
          <w:marBottom w:val="0"/>
          <w:divBdr>
            <w:top w:val="none" w:sz="0" w:space="0" w:color="auto"/>
            <w:left w:val="none" w:sz="0" w:space="0" w:color="auto"/>
            <w:bottom w:val="none" w:sz="0" w:space="0" w:color="auto"/>
            <w:right w:val="none" w:sz="0" w:space="0" w:color="auto"/>
          </w:divBdr>
        </w:div>
        <w:div w:id="1447118223">
          <w:marLeft w:val="0"/>
          <w:marRight w:val="0"/>
          <w:marTop w:val="0"/>
          <w:marBottom w:val="0"/>
          <w:divBdr>
            <w:top w:val="none" w:sz="0" w:space="0" w:color="auto"/>
            <w:left w:val="none" w:sz="0" w:space="0" w:color="auto"/>
            <w:bottom w:val="none" w:sz="0" w:space="0" w:color="auto"/>
            <w:right w:val="none" w:sz="0" w:space="0" w:color="auto"/>
          </w:divBdr>
        </w:div>
      </w:divsChild>
    </w:div>
    <w:div w:id="644050743">
      <w:bodyDiv w:val="1"/>
      <w:marLeft w:val="0"/>
      <w:marRight w:val="0"/>
      <w:marTop w:val="0"/>
      <w:marBottom w:val="0"/>
      <w:divBdr>
        <w:top w:val="none" w:sz="0" w:space="0" w:color="auto"/>
        <w:left w:val="none" w:sz="0" w:space="0" w:color="auto"/>
        <w:bottom w:val="none" w:sz="0" w:space="0" w:color="auto"/>
        <w:right w:val="none" w:sz="0" w:space="0" w:color="auto"/>
      </w:divBdr>
      <w:divsChild>
        <w:div w:id="1861770751">
          <w:marLeft w:val="690"/>
          <w:marRight w:val="0"/>
          <w:marTop w:val="0"/>
          <w:marBottom w:val="0"/>
          <w:divBdr>
            <w:top w:val="none" w:sz="0" w:space="0" w:color="auto"/>
            <w:left w:val="none" w:sz="0" w:space="0" w:color="auto"/>
            <w:bottom w:val="none" w:sz="0" w:space="0" w:color="auto"/>
            <w:right w:val="none" w:sz="0" w:space="0" w:color="auto"/>
          </w:divBdr>
        </w:div>
      </w:divsChild>
    </w:div>
    <w:div w:id="1058824038">
      <w:bodyDiv w:val="1"/>
      <w:marLeft w:val="0"/>
      <w:marRight w:val="0"/>
      <w:marTop w:val="0"/>
      <w:marBottom w:val="0"/>
      <w:divBdr>
        <w:top w:val="none" w:sz="0" w:space="0" w:color="auto"/>
        <w:left w:val="none" w:sz="0" w:space="0" w:color="auto"/>
        <w:bottom w:val="none" w:sz="0" w:space="0" w:color="auto"/>
        <w:right w:val="none" w:sz="0" w:space="0" w:color="auto"/>
      </w:divBdr>
      <w:divsChild>
        <w:div w:id="125392896">
          <w:marLeft w:val="230"/>
          <w:marRight w:val="0"/>
          <w:marTop w:val="0"/>
          <w:marBottom w:val="0"/>
          <w:divBdr>
            <w:top w:val="none" w:sz="0" w:space="0" w:color="auto"/>
            <w:left w:val="none" w:sz="0" w:space="0" w:color="auto"/>
            <w:bottom w:val="none" w:sz="0" w:space="0" w:color="auto"/>
            <w:right w:val="none" w:sz="0" w:space="0" w:color="auto"/>
          </w:divBdr>
        </w:div>
        <w:div w:id="210307729">
          <w:marLeft w:val="230"/>
          <w:marRight w:val="0"/>
          <w:marTop w:val="0"/>
          <w:marBottom w:val="0"/>
          <w:divBdr>
            <w:top w:val="none" w:sz="0" w:space="0" w:color="auto"/>
            <w:left w:val="none" w:sz="0" w:space="0" w:color="auto"/>
            <w:bottom w:val="none" w:sz="0" w:space="0" w:color="auto"/>
            <w:right w:val="none" w:sz="0" w:space="0" w:color="auto"/>
          </w:divBdr>
        </w:div>
        <w:div w:id="405809202">
          <w:marLeft w:val="230"/>
          <w:marRight w:val="0"/>
          <w:marTop w:val="0"/>
          <w:marBottom w:val="0"/>
          <w:divBdr>
            <w:top w:val="none" w:sz="0" w:space="0" w:color="auto"/>
            <w:left w:val="none" w:sz="0" w:space="0" w:color="auto"/>
            <w:bottom w:val="none" w:sz="0" w:space="0" w:color="auto"/>
            <w:right w:val="none" w:sz="0" w:space="0" w:color="auto"/>
          </w:divBdr>
        </w:div>
        <w:div w:id="451902200">
          <w:marLeft w:val="230"/>
          <w:marRight w:val="0"/>
          <w:marTop w:val="0"/>
          <w:marBottom w:val="0"/>
          <w:divBdr>
            <w:top w:val="none" w:sz="0" w:space="0" w:color="auto"/>
            <w:left w:val="none" w:sz="0" w:space="0" w:color="auto"/>
            <w:bottom w:val="none" w:sz="0" w:space="0" w:color="auto"/>
            <w:right w:val="none" w:sz="0" w:space="0" w:color="auto"/>
          </w:divBdr>
        </w:div>
        <w:div w:id="595985877">
          <w:marLeft w:val="230"/>
          <w:marRight w:val="0"/>
          <w:marTop w:val="0"/>
          <w:marBottom w:val="0"/>
          <w:divBdr>
            <w:top w:val="none" w:sz="0" w:space="0" w:color="auto"/>
            <w:left w:val="none" w:sz="0" w:space="0" w:color="auto"/>
            <w:bottom w:val="none" w:sz="0" w:space="0" w:color="auto"/>
            <w:right w:val="none" w:sz="0" w:space="0" w:color="auto"/>
          </w:divBdr>
        </w:div>
        <w:div w:id="841550077">
          <w:marLeft w:val="230"/>
          <w:marRight w:val="0"/>
          <w:marTop w:val="0"/>
          <w:marBottom w:val="0"/>
          <w:divBdr>
            <w:top w:val="none" w:sz="0" w:space="0" w:color="auto"/>
            <w:left w:val="none" w:sz="0" w:space="0" w:color="auto"/>
            <w:bottom w:val="none" w:sz="0" w:space="0" w:color="auto"/>
            <w:right w:val="none" w:sz="0" w:space="0" w:color="auto"/>
          </w:divBdr>
        </w:div>
        <w:div w:id="1387485680">
          <w:marLeft w:val="230"/>
          <w:marRight w:val="0"/>
          <w:marTop w:val="0"/>
          <w:marBottom w:val="0"/>
          <w:divBdr>
            <w:top w:val="none" w:sz="0" w:space="0" w:color="auto"/>
            <w:left w:val="none" w:sz="0" w:space="0" w:color="auto"/>
            <w:bottom w:val="none" w:sz="0" w:space="0" w:color="auto"/>
            <w:right w:val="none" w:sz="0" w:space="0" w:color="auto"/>
          </w:divBdr>
        </w:div>
        <w:div w:id="1402673787">
          <w:marLeft w:val="230"/>
          <w:marRight w:val="0"/>
          <w:marTop w:val="0"/>
          <w:marBottom w:val="0"/>
          <w:divBdr>
            <w:top w:val="none" w:sz="0" w:space="0" w:color="auto"/>
            <w:left w:val="none" w:sz="0" w:space="0" w:color="auto"/>
            <w:bottom w:val="none" w:sz="0" w:space="0" w:color="auto"/>
            <w:right w:val="none" w:sz="0" w:space="0" w:color="auto"/>
          </w:divBdr>
        </w:div>
        <w:div w:id="1743605352">
          <w:marLeft w:val="230"/>
          <w:marRight w:val="0"/>
          <w:marTop w:val="0"/>
          <w:marBottom w:val="0"/>
          <w:divBdr>
            <w:top w:val="none" w:sz="0" w:space="0" w:color="auto"/>
            <w:left w:val="none" w:sz="0" w:space="0" w:color="auto"/>
            <w:bottom w:val="none" w:sz="0" w:space="0" w:color="auto"/>
            <w:right w:val="none" w:sz="0" w:space="0" w:color="auto"/>
          </w:divBdr>
        </w:div>
        <w:div w:id="1758673124">
          <w:marLeft w:val="230"/>
          <w:marRight w:val="0"/>
          <w:marTop w:val="0"/>
          <w:marBottom w:val="0"/>
          <w:divBdr>
            <w:top w:val="none" w:sz="0" w:space="0" w:color="auto"/>
            <w:left w:val="none" w:sz="0" w:space="0" w:color="auto"/>
            <w:bottom w:val="none" w:sz="0" w:space="0" w:color="auto"/>
            <w:right w:val="none" w:sz="0" w:space="0" w:color="auto"/>
          </w:divBdr>
        </w:div>
        <w:div w:id="1816991494">
          <w:marLeft w:val="230"/>
          <w:marRight w:val="0"/>
          <w:marTop w:val="0"/>
          <w:marBottom w:val="0"/>
          <w:divBdr>
            <w:top w:val="none" w:sz="0" w:space="0" w:color="auto"/>
            <w:left w:val="none" w:sz="0" w:space="0" w:color="auto"/>
            <w:bottom w:val="none" w:sz="0" w:space="0" w:color="auto"/>
            <w:right w:val="none" w:sz="0" w:space="0" w:color="auto"/>
          </w:divBdr>
        </w:div>
        <w:div w:id="1876458856">
          <w:marLeft w:val="230"/>
          <w:marRight w:val="0"/>
          <w:marTop w:val="0"/>
          <w:marBottom w:val="0"/>
          <w:divBdr>
            <w:top w:val="none" w:sz="0" w:space="0" w:color="auto"/>
            <w:left w:val="none" w:sz="0" w:space="0" w:color="auto"/>
            <w:bottom w:val="none" w:sz="0" w:space="0" w:color="auto"/>
            <w:right w:val="none" w:sz="0" w:space="0" w:color="auto"/>
          </w:divBdr>
        </w:div>
      </w:divsChild>
    </w:div>
    <w:div w:id="1081292264">
      <w:bodyDiv w:val="1"/>
      <w:marLeft w:val="0"/>
      <w:marRight w:val="0"/>
      <w:marTop w:val="0"/>
      <w:marBottom w:val="0"/>
      <w:divBdr>
        <w:top w:val="none" w:sz="0" w:space="0" w:color="auto"/>
        <w:left w:val="none" w:sz="0" w:space="0" w:color="auto"/>
        <w:bottom w:val="none" w:sz="0" w:space="0" w:color="auto"/>
        <w:right w:val="none" w:sz="0" w:space="0" w:color="auto"/>
      </w:divBdr>
    </w:div>
    <w:div w:id="1219897569">
      <w:bodyDiv w:val="1"/>
      <w:marLeft w:val="0"/>
      <w:marRight w:val="0"/>
      <w:marTop w:val="0"/>
      <w:marBottom w:val="0"/>
      <w:divBdr>
        <w:top w:val="none" w:sz="0" w:space="0" w:color="auto"/>
        <w:left w:val="none" w:sz="0" w:space="0" w:color="auto"/>
        <w:bottom w:val="none" w:sz="0" w:space="0" w:color="auto"/>
        <w:right w:val="none" w:sz="0" w:space="0" w:color="auto"/>
      </w:divBdr>
      <w:divsChild>
        <w:div w:id="673844552">
          <w:marLeft w:val="230"/>
          <w:marRight w:val="0"/>
          <w:marTop w:val="0"/>
          <w:marBottom w:val="0"/>
          <w:divBdr>
            <w:top w:val="none" w:sz="0" w:space="0" w:color="auto"/>
            <w:left w:val="none" w:sz="0" w:space="0" w:color="auto"/>
            <w:bottom w:val="none" w:sz="0" w:space="0" w:color="auto"/>
            <w:right w:val="none" w:sz="0" w:space="0" w:color="auto"/>
          </w:divBdr>
        </w:div>
        <w:div w:id="85270068">
          <w:marLeft w:val="230"/>
          <w:marRight w:val="0"/>
          <w:marTop w:val="0"/>
          <w:marBottom w:val="0"/>
          <w:divBdr>
            <w:top w:val="none" w:sz="0" w:space="0" w:color="auto"/>
            <w:left w:val="none" w:sz="0" w:space="0" w:color="auto"/>
            <w:bottom w:val="none" w:sz="0" w:space="0" w:color="auto"/>
            <w:right w:val="none" w:sz="0" w:space="0" w:color="auto"/>
          </w:divBdr>
        </w:div>
        <w:div w:id="808327383">
          <w:marLeft w:val="230"/>
          <w:marRight w:val="0"/>
          <w:marTop w:val="0"/>
          <w:marBottom w:val="0"/>
          <w:divBdr>
            <w:top w:val="none" w:sz="0" w:space="0" w:color="auto"/>
            <w:left w:val="none" w:sz="0" w:space="0" w:color="auto"/>
            <w:bottom w:val="none" w:sz="0" w:space="0" w:color="auto"/>
            <w:right w:val="none" w:sz="0" w:space="0" w:color="auto"/>
          </w:divBdr>
        </w:div>
        <w:div w:id="51008676">
          <w:marLeft w:val="230"/>
          <w:marRight w:val="0"/>
          <w:marTop w:val="0"/>
          <w:marBottom w:val="0"/>
          <w:divBdr>
            <w:top w:val="none" w:sz="0" w:space="0" w:color="auto"/>
            <w:left w:val="none" w:sz="0" w:space="0" w:color="auto"/>
            <w:bottom w:val="none" w:sz="0" w:space="0" w:color="auto"/>
            <w:right w:val="none" w:sz="0" w:space="0" w:color="auto"/>
          </w:divBdr>
        </w:div>
        <w:div w:id="709964422">
          <w:marLeft w:val="230"/>
          <w:marRight w:val="0"/>
          <w:marTop w:val="0"/>
          <w:marBottom w:val="0"/>
          <w:divBdr>
            <w:top w:val="none" w:sz="0" w:space="0" w:color="auto"/>
            <w:left w:val="none" w:sz="0" w:space="0" w:color="auto"/>
            <w:bottom w:val="none" w:sz="0" w:space="0" w:color="auto"/>
            <w:right w:val="none" w:sz="0" w:space="0" w:color="auto"/>
          </w:divBdr>
        </w:div>
        <w:div w:id="1662466242">
          <w:marLeft w:val="230"/>
          <w:marRight w:val="0"/>
          <w:marTop w:val="0"/>
          <w:marBottom w:val="0"/>
          <w:divBdr>
            <w:top w:val="none" w:sz="0" w:space="0" w:color="auto"/>
            <w:left w:val="none" w:sz="0" w:space="0" w:color="auto"/>
            <w:bottom w:val="none" w:sz="0" w:space="0" w:color="auto"/>
            <w:right w:val="none" w:sz="0" w:space="0" w:color="auto"/>
          </w:divBdr>
        </w:div>
        <w:div w:id="1933077916">
          <w:marLeft w:val="230"/>
          <w:marRight w:val="0"/>
          <w:marTop w:val="0"/>
          <w:marBottom w:val="0"/>
          <w:divBdr>
            <w:top w:val="none" w:sz="0" w:space="0" w:color="auto"/>
            <w:left w:val="none" w:sz="0" w:space="0" w:color="auto"/>
            <w:bottom w:val="none" w:sz="0" w:space="0" w:color="auto"/>
            <w:right w:val="none" w:sz="0" w:space="0" w:color="auto"/>
          </w:divBdr>
        </w:div>
        <w:div w:id="404685961">
          <w:marLeft w:val="230"/>
          <w:marRight w:val="0"/>
          <w:marTop w:val="0"/>
          <w:marBottom w:val="0"/>
          <w:divBdr>
            <w:top w:val="none" w:sz="0" w:space="0" w:color="auto"/>
            <w:left w:val="none" w:sz="0" w:space="0" w:color="auto"/>
            <w:bottom w:val="none" w:sz="0" w:space="0" w:color="auto"/>
            <w:right w:val="none" w:sz="0" w:space="0" w:color="auto"/>
          </w:divBdr>
        </w:div>
        <w:div w:id="27221044">
          <w:marLeft w:val="230"/>
          <w:marRight w:val="0"/>
          <w:marTop w:val="0"/>
          <w:marBottom w:val="0"/>
          <w:divBdr>
            <w:top w:val="none" w:sz="0" w:space="0" w:color="auto"/>
            <w:left w:val="none" w:sz="0" w:space="0" w:color="auto"/>
            <w:bottom w:val="none" w:sz="0" w:space="0" w:color="auto"/>
            <w:right w:val="none" w:sz="0" w:space="0" w:color="auto"/>
          </w:divBdr>
        </w:div>
        <w:div w:id="1359896453">
          <w:marLeft w:val="230"/>
          <w:marRight w:val="0"/>
          <w:marTop w:val="0"/>
          <w:marBottom w:val="0"/>
          <w:divBdr>
            <w:top w:val="none" w:sz="0" w:space="0" w:color="auto"/>
            <w:left w:val="none" w:sz="0" w:space="0" w:color="auto"/>
            <w:bottom w:val="none" w:sz="0" w:space="0" w:color="auto"/>
            <w:right w:val="none" w:sz="0" w:space="0" w:color="auto"/>
          </w:divBdr>
        </w:div>
        <w:div w:id="546601328">
          <w:marLeft w:val="230"/>
          <w:marRight w:val="0"/>
          <w:marTop w:val="0"/>
          <w:marBottom w:val="0"/>
          <w:divBdr>
            <w:top w:val="none" w:sz="0" w:space="0" w:color="auto"/>
            <w:left w:val="none" w:sz="0" w:space="0" w:color="auto"/>
            <w:bottom w:val="none" w:sz="0" w:space="0" w:color="auto"/>
            <w:right w:val="none" w:sz="0" w:space="0" w:color="auto"/>
          </w:divBdr>
        </w:div>
        <w:div w:id="1852524064">
          <w:marLeft w:val="230"/>
          <w:marRight w:val="0"/>
          <w:marTop w:val="0"/>
          <w:marBottom w:val="0"/>
          <w:divBdr>
            <w:top w:val="none" w:sz="0" w:space="0" w:color="auto"/>
            <w:left w:val="none" w:sz="0" w:space="0" w:color="auto"/>
            <w:bottom w:val="none" w:sz="0" w:space="0" w:color="auto"/>
            <w:right w:val="none" w:sz="0" w:space="0" w:color="auto"/>
          </w:divBdr>
        </w:div>
        <w:div w:id="1485200034">
          <w:marLeft w:val="230"/>
          <w:marRight w:val="0"/>
          <w:marTop w:val="0"/>
          <w:marBottom w:val="0"/>
          <w:divBdr>
            <w:top w:val="none" w:sz="0" w:space="0" w:color="auto"/>
            <w:left w:val="none" w:sz="0" w:space="0" w:color="auto"/>
            <w:bottom w:val="none" w:sz="0" w:space="0" w:color="auto"/>
            <w:right w:val="none" w:sz="0" w:space="0" w:color="auto"/>
          </w:divBdr>
        </w:div>
        <w:div w:id="312876120">
          <w:marLeft w:val="230"/>
          <w:marRight w:val="0"/>
          <w:marTop w:val="0"/>
          <w:marBottom w:val="0"/>
          <w:divBdr>
            <w:top w:val="none" w:sz="0" w:space="0" w:color="auto"/>
            <w:left w:val="none" w:sz="0" w:space="0" w:color="auto"/>
            <w:bottom w:val="none" w:sz="0" w:space="0" w:color="auto"/>
            <w:right w:val="none" w:sz="0" w:space="0" w:color="auto"/>
          </w:divBdr>
        </w:div>
        <w:div w:id="2076001465">
          <w:marLeft w:val="230"/>
          <w:marRight w:val="0"/>
          <w:marTop w:val="0"/>
          <w:marBottom w:val="0"/>
          <w:divBdr>
            <w:top w:val="none" w:sz="0" w:space="0" w:color="auto"/>
            <w:left w:val="none" w:sz="0" w:space="0" w:color="auto"/>
            <w:bottom w:val="none" w:sz="0" w:space="0" w:color="auto"/>
            <w:right w:val="none" w:sz="0" w:space="0" w:color="auto"/>
          </w:divBdr>
        </w:div>
        <w:div w:id="177358074">
          <w:marLeft w:val="230"/>
          <w:marRight w:val="0"/>
          <w:marTop w:val="0"/>
          <w:marBottom w:val="0"/>
          <w:divBdr>
            <w:top w:val="none" w:sz="0" w:space="0" w:color="auto"/>
            <w:left w:val="none" w:sz="0" w:space="0" w:color="auto"/>
            <w:bottom w:val="none" w:sz="0" w:space="0" w:color="auto"/>
            <w:right w:val="none" w:sz="0" w:space="0" w:color="auto"/>
          </w:divBdr>
        </w:div>
      </w:divsChild>
    </w:div>
    <w:div w:id="1611232176">
      <w:bodyDiv w:val="1"/>
      <w:marLeft w:val="0"/>
      <w:marRight w:val="0"/>
      <w:marTop w:val="0"/>
      <w:marBottom w:val="0"/>
      <w:divBdr>
        <w:top w:val="none" w:sz="0" w:space="0" w:color="auto"/>
        <w:left w:val="none" w:sz="0" w:space="0" w:color="auto"/>
        <w:bottom w:val="none" w:sz="0" w:space="0" w:color="auto"/>
        <w:right w:val="none" w:sz="0" w:space="0" w:color="auto"/>
      </w:divBdr>
    </w:div>
    <w:div w:id="1696537065">
      <w:bodyDiv w:val="1"/>
      <w:marLeft w:val="0"/>
      <w:marRight w:val="0"/>
      <w:marTop w:val="0"/>
      <w:marBottom w:val="0"/>
      <w:divBdr>
        <w:top w:val="none" w:sz="0" w:space="0" w:color="auto"/>
        <w:left w:val="none" w:sz="0" w:space="0" w:color="auto"/>
        <w:bottom w:val="none" w:sz="0" w:space="0" w:color="auto"/>
        <w:right w:val="none" w:sz="0" w:space="0" w:color="auto"/>
      </w:divBdr>
      <w:divsChild>
        <w:div w:id="1803883561">
          <w:marLeft w:val="230"/>
          <w:marRight w:val="0"/>
          <w:marTop w:val="0"/>
          <w:marBottom w:val="0"/>
          <w:divBdr>
            <w:top w:val="none" w:sz="0" w:space="0" w:color="auto"/>
            <w:left w:val="none" w:sz="0" w:space="0" w:color="auto"/>
            <w:bottom w:val="none" w:sz="0" w:space="0" w:color="auto"/>
            <w:right w:val="none" w:sz="0" w:space="0" w:color="auto"/>
          </w:divBdr>
        </w:div>
        <w:div w:id="2066488207">
          <w:marLeft w:val="230"/>
          <w:marRight w:val="0"/>
          <w:marTop w:val="0"/>
          <w:marBottom w:val="0"/>
          <w:divBdr>
            <w:top w:val="none" w:sz="0" w:space="0" w:color="auto"/>
            <w:left w:val="none" w:sz="0" w:space="0" w:color="auto"/>
            <w:bottom w:val="none" w:sz="0" w:space="0" w:color="auto"/>
            <w:right w:val="none" w:sz="0" w:space="0" w:color="auto"/>
          </w:divBdr>
        </w:div>
        <w:div w:id="1547334461">
          <w:marLeft w:val="230"/>
          <w:marRight w:val="0"/>
          <w:marTop w:val="0"/>
          <w:marBottom w:val="0"/>
          <w:divBdr>
            <w:top w:val="none" w:sz="0" w:space="0" w:color="auto"/>
            <w:left w:val="none" w:sz="0" w:space="0" w:color="auto"/>
            <w:bottom w:val="none" w:sz="0" w:space="0" w:color="auto"/>
            <w:right w:val="none" w:sz="0" w:space="0" w:color="auto"/>
          </w:divBdr>
        </w:div>
        <w:div w:id="378475033">
          <w:marLeft w:val="230"/>
          <w:marRight w:val="0"/>
          <w:marTop w:val="0"/>
          <w:marBottom w:val="0"/>
          <w:divBdr>
            <w:top w:val="none" w:sz="0" w:space="0" w:color="auto"/>
            <w:left w:val="none" w:sz="0" w:space="0" w:color="auto"/>
            <w:bottom w:val="none" w:sz="0" w:space="0" w:color="auto"/>
            <w:right w:val="none" w:sz="0" w:space="0" w:color="auto"/>
          </w:divBdr>
        </w:div>
        <w:div w:id="1405448129">
          <w:marLeft w:val="230"/>
          <w:marRight w:val="0"/>
          <w:marTop w:val="0"/>
          <w:marBottom w:val="0"/>
          <w:divBdr>
            <w:top w:val="none" w:sz="0" w:space="0" w:color="auto"/>
            <w:left w:val="none" w:sz="0" w:space="0" w:color="auto"/>
            <w:bottom w:val="none" w:sz="0" w:space="0" w:color="auto"/>
            <w:right w:val="none" w:sz="0" w:space="0" w:color="auto"/>
          </w:divBdr>
        </w:div>
        <w:div w:id="1433164351">
          <w:marLeft w:val="230"/>
          <w:marRight w:val="0"/>
          <w:marTop w:val="0"/>
          <w:marBottom w:val="0"/>
          <w:divBdr>
            <w:top w:val="none" w:sz="0" w:space="0" w:color="auto"/>
            <w:left w:val="none" w:sz="0" w:space="0" w:color="auto"/>
            <w:bottom w:val="none" w:sz="0" w:space="0" w:color="auto"/>
            <w:right w:val="none" w:sz="0" w:space="0" w:color="auto"/>
          </w:divBdr>
        </w:div>
        <w:div w:id="1350526832">
          <w:marLeft w:val="230"/>
          <w:marRight w:val="0"/>
          <w:marTop w:val="0"/>
          <w:marBottom w:val="0"/>
          <w:divBdr>
            <w:top w:val="none" w:sz="0" w:space="0" w:color="auto"/>
            <w:left w:val="none" w:sz="0" w:space="0" w:color="auto"/>
            <w:bottom w:val="none" w:sz="0" w:space="0" w:color="auto"/>
            <w:right w:val="none" w:sz="0" w:space="0" w:color="auto"/>
          </w:divBdr>
        </w:div>
        <w:div w:id="1438915048">
          <w:marLeft w:val="230"/>
          <w:marRight w:val="0"/>
          <w:marTop w:val="0"/>
          <w:marBottom w:val="0"/>
          <w:divBdr>
            <w:top w:val="none" w:sz="0" w:space="0" w:color="auto"/>
            <w:left w:val="none" w:sz="0" w:space="0" w:color="auto"/>
            <w:bottom w:val="none" w:sz="0" w:space="0" w:color="auto"/>
            <w:right w:val="none" w:sz="0" w:space="0" w:color="auto"/>
          </w:divBdr>
        </w:div>
      </w:divsChild>
    </w:div>
    <w:div w:id="1776557213">
      <w:bodyDiv w:val="1"/>
      <w:marLeft w:val="0"/>
      <w:marRight w:val="0"/>
      <w:marTop w:val="0"/>
      <w:marBottom w:val="0"/>
      <w:divBdr>
        <w:top w:val="none" w:sz="0" w:space="0" w:color="auto"/>
        <w:left w:val="none" w:sz="0" w:space="0" w:color="auto"/>
        <w:bottom w:val="none" w:sz="0" w:space="0" w:color="auto"/>
        <w:right w:val="none" w:sz="0" w:space="0" w:color="auto"/>
      </w:divBdr>
      <w:divsChild>
        <w:div w:id="303390022">
          <w:marLeft w:val="230"/>
          <w:marRight w:val="0"/>
          <w:marTop w:val="0"/>
          <w:marBottom w:val="0"/>
          <w:divBdr>
            <w:top w:val="none" w:sz="0" w:space="0" w:color="auto"/>
            <w:left w:val="none" w:sz="0" w:space="0" w:color="auto"/>
            <w:bottom w:val="none" w:sz="0" w:space="0" w:color="auto"/>
            <w:right w:val="none" w:sz="0" w:space="0" w:color="auto"/>
          </w:divBdr>
        </w:div>
        <w:div w:id="449057147">
          <w:marLeft w:val="230"/>
          <w:marRight w:val="0"/>
          <w:marTop w:val="0"/>
          <w:marBottom w:val="0"/>
          <w:divBdr>
            <w:top w:val="none" w:sz="0" w:space="0" w:color="auto"/>
            <w:left w:val="none" w:sz="0" w:space="0" w:color="auto"/>
            <w:bottom w:val="none" w:sz="0" w:space="0" w:color="auto"/>
            <w:right w:val="none" w:sz="0" w:space="0" w:color="auto"/>
          </w:divBdr>
        </w:div>
        <w:div w:id="714624787">
          <w:marLeft w:val="230"/>
          <w:marRight w:val="0"/>
          <w:marTop w:val="0"/>
          <w:marBottom w:val="0"/>
          <w:divBdr>
            <w:top w:val="none" w:sz="0" w:space="0" w:color="auto"/>
            <w:left w:val="none" w:sz="0" w:space="0" w:color="auto"/>
            <w:bottom w:val="none" w:sz="0" w:space="0" w:color="auto"/>
            <w:right w:val="none" w:sz="0" w:space="0" w:color="auto"/>
          </w:divBdr>
        </w:div>
        <w:div w:id="751587937">
          <w:marLeft w:val="230"/>
          <w:marRight w:val="0"/>
          <w:marTop w:val="0"/>
          <w:marBottom w:val="0"/>
          <w:divBdr>
            <w:top w:val="none" w:sz="0" w:space="0" w:color="auto"/>
            <w:left w:val="none" w:sz="0" w:space="0" w:color="auto"/>
            <w:bottom w:val="none" w:sz="0" w:space="0" w:color="auto"/>
            <w:right w:val="none" w:sz="0" w:space="0" w:color="auto"/>
          </w:divBdr>
        </w:div>
        <w:div w:id="826820038">
          <w:marLeft w:val="230"/>
          <w:marRight w:val="0"/>
          <w:marTop w:val="0"/>
          <w:marBottom w:val="0"/>
          <w:divBdr>
            <w:top w:val="none" w:sz="0" w:space="0" w:color="auto"/>
            <w:left w:val="none" w:sz="0" w:space="0" w:color="auto"/>
            <w:bottom w:val="none" w:sz="0" w:space="0" w:color="auto"/>
            <w:right w:val="none" w:sz="0" w:space="0" w:color="auto"/>
          </w:divBdr>
        </w:div>
        <w:div w:id="850147031">
          <w:marLeft w:val="230"/>
          <w:marRight w:val="0"/>
          <w:marTop w:val="0"/>
          <w:marBottom w:val="0"/>
          <w:divBdr>
            <w:top w:val="none" w:sz="0" w:space="0" w:color="auto"/>
            <w:left w:val="none" w:sz="0" w:space="0" w:color="auto"/>
            <w:bottom w:val="none" w:sz="0" w:space="0" w:color="auto"/>
            <w:right w:val="none" w:sz="0" w:space="0" w:color="auto"/>
          </w:divBdr>
        </w:div>
        <w:div w:id="1155414303">
          <w:marLeft w:val="230"/>
          <w:marRight w:val="0"/>
          <w:marTop w:val="0"/>
          <w:marBottom w:val="0"/>
          <w:divBdr>
            <w:top w:val="none" w:sz="0" w:space="0" w:color="auto"/>
            <w:left w:val="none" w:sz="0" w:space="0" w:color="auto"/>
            <w:bottom w:val="none" w:sz="0" w:space="0" w:color="auto"/>
            <w:right w:val="none" w:sz="0" w:space="0" w:color="auto"/>
          </w:divBdr>
        </w:div>
        <w:div w:id="1557937074">
          <w:marLeft w:val="230"/>
          <w:marRight w:val="0"/>
          <w:marTop w:val="0"/>
          <w:marBottom w:val="0"/>
          <w:divBdr>
            <w:top w:val="none" w:sz="0" w:space="0" w:color="auto"/>
            <w:left w:val="none" w:sz="0" w:space="0" w:color="auto"/>
            <w:bottom w:val="none" w:sz="0" w:space="0" w:color="auto"/>
            <w:right w:val="none" w:sz="0" w:space="0" w:color="auto"/>
          </w:divBdr>
        </w:div>
        <w:div w:id="1771975471">
          <w:marLeft w:val="230"/>
          <w:marRight w:val="0"/>
          <w:marTop w:val="0"/>
          <w:marBottom w:val="0"/>
          <w:divBdr>
            <w:top w:val="none" w:sz="0" w:space="0" w:color="auto"/>
            <w:left w:val="none" w:sz="0" w:space="0" w:color="auto"/>
            <w:bottom w:val="none" w:sz="0" w:space="0" w:color="auto"/>
            <w:right w:val="none" w:sz="0" w:space="0" w:color="auto"/>
          </w:divBdr>
        </w:div>
        <w:div w:id="1892421358">
          <w:marLeft w:val="230"/>
          <w:marRight w:val="0"/>
          <w:marTop w:val="0"/>
          <w:marBottom w:val="0"/>
          <w:divBdr>
            <w:top w:val="none" w:sz="0" w:space="0" w:color="auto"/>
            <w:left w:val="none" w:sz="0" w:space="0" w:color="auto"/>
            <w:bottom w:val="none" w:sz="0" w:space="0" w:color="auto"/>
            <w:right w:val="none" w:sz="0" w:space="0" w:color="auto"/>
          </w:divBdr>
        </w:div>
        <w:div w:id="2144497435">
          <w:marLeft w:val="230"/>
          <w:marRight w:val="0"/>
          <w:marTop w:val="0"/>
          <w:marBottom w:val="0"/>
          <w:divBdr>
            <w:top w:val="none" w:sz="0" w:space="0" w:color="auto"/>
            <w:left w:val="none" w:sz="0" w:space="0" w:color="auto"/>
            <w:bottom w:val="none" w:sz="0" w:space="0" w:color="auto"/>
            <w:right w:val="none" w:sz="0" w:space="0" w:color="auto"/>
          </w:divBdr>
        </w:div>
      </w:divsChild>
    </w:div>
    <w:div w:id="2095545115">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3">
          <w:marLeft w:val="4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72C8B-1B7B-4491-B8CD-B7D533370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866</Words>
  <Characters>40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2017-08-21T03:40:00Z</dcterms:created>
  <dcterms:modified xsi:type="dcterms:W3CDTF">2021-06-29T02:27:00Z</dcterms:modified>
</cp:coreProperties>
</file>